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F8E" w:rsidRPr="009F321D" w:rsidRDefault="00906F8E" w:rsidP="00906F8E">
      <w:pPr>
        <w:tabs>
          <w:tab w:val="left" w:pos="2730"/>
          <w:tab w:val="left" w:pos="2850"/>
          <w:tab w:val="center" w:pos="4419"/>
        </w:tabs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</w:p>
    <w:p w:rsidR="00906F8E" w:rsidRPr="009F321D" w:rsidRDefault="00906F8E" w:rsidP="00906F8E">
      <w:pPr>
        <w:tabs>
          <w:tab w:val="left" w:pos="8130"/>
        </w:tabs>
        <w:autoSpaceDE w:val="0"/>
        <w:autoSpaceDN w:val="0"/>
        <w:adjustRightInd w:val="0"/>
        <w:spacing w:after="0" w:line="240" w:lineRule="auto"/>
        <w:ind w:right="144"/>
        <w:contextualSpacing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906F8E" w:rsidRDefault="00906F8E" w:rsidP="00906F8E">
      <w:pPr>
        <w:tabs>
          <w:tab w:val="left" w:pos="2730"/>
        </w:tabs>
        <w:rPr>
          <w:rFonts w:ascii="Times New Roman" w:eastAsiaTheme="minorEastAsia" w:hAnsi="Times New Roman"/>
          <w:b/>
          <w:noProof/>
          <w:sz w:val="24"/>
          <w:szCs w:val="24"/>
          <w:lang w:val="sq-AL" w:eastAsia="en-GB"/>
        </w:rPr>
      </w:pPr>
      <w:bookmarkStart w:id="0" w:name="_GoBack"/>
      <w:bookmarkEnd w:id="0"/>
    </w:p>
    <w:p w:rsidR="00D4627B" w:rsidRDefault="00D4627B" w:rsidP="00906F8E">
      <w:pPr>
        <w:tabs>
          <w:tab w:val="left" w:pos="2730"/>
        </w:tabs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  <w:r w:rsidRPr="009F321D">
        <w:rPr>
          <w:rFonts w:ascii="Times New Roman" w:eastAsiaTheme="minorEastAsia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2230DD7E" wp14:editId="47ADF853">
            <wp:simplePos x="0" y="0"/>
            <wp:positionH relativeFrom="column">
              <wp:posOffset>669925</wp:posOffset>
            </wp:positionH>
            <wp:positionV relativeFrom="paragraph">
              <wp:posOffset>52070</wp:posOffset>
            </wp:positionV>
            <wp:extent cx="5372100" cy="724535"/>
            <wp:effectExtent l="0" t="0" r="0" b="0"/>
            <wp:wrapSquare wrapText="bothSides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27B" w:rsidRPr="009F321D" w:rsidRDefault="00D4627B" w:rsidP="00906F8E">
      <w:pPr>
        <w:tabs>
          <w:tab w:val="left" w:pos="2730"/>
        </w:tabs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:rsidR="00906F8E" w:rsidRPr="009F321D" w:rsidRDefault="00906F8E" w:rsidP="00906F8E">
      <w:pPr>
        <w:tabs>
          <w:tab w:val="left" w:pos="2730"/>
        </w:tabs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  <w:r w:rsidRPr="009F321D">
        <w:rPr>
          <w:rFonts w:ascii="Times New Roman" w:eastAsiaTheme="minorEastAsia" w:hAnsi="Times New Roman"/>
          <w:b/>
          <w:sz w:val="24"/>
          <w:szCs w:val="24"/>
          <w:lang w:val="sq-AL" w:eastAsia="en-GB"/>
        </w:rPr>
        <w:t>REPUBLIKA E SHQIPËRISË</w:t>
      </w:r>
    </w:p>
    <w:p w:rsidR="00906F8E" w:rsidRPr="009F321D" w:rsidRDefault="00906F8E" w:rsidP="00906F8E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val="sq-AL"/>
        </w:rPr>
      </w:pPr>
      <w:r w:rsidRPr="009F321D">
        <w:rPr>
          <w:rFonts w:ascii="Times New Roman" w:hAnsi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906F8E" w:rsidRPr="009F321D" w:rsidRDefault="00906F8E" w:rsidP="00906F8E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val="sq-AL"/>
        </w:rPr>
      </w:pPr>
      <w:r w:rsidRPr="009F321D">
        <w:rPr>
          <w:rFonts w:ascii="Times New Roman" w:hAnsi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906F8E" w:rsidRPr="009F321D" w:rsidRDefault="00906F8E" w:rsidP="00906F8E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/>
          <w:b/>
          <w:snapToGrid w:val="0"/>
          <w:lang w:val="sq-AL"/>
        </w:rPr>
      </w:pPr>
      <w:r w:rsidRPr="009F321D">
        <w:rPr>
          <w:rFonts w:ascii="Times New Roman" w:hAnsi="Times New Roman"/>
          <w:b/>
          <w:snapToGrid w:val="0"/>
          <w:lang w:val="sq-AL"/>
        </w:rPr>
        <w:t>DREJTORIA QENDRORE</w:t>
      </w:r>
    </w:p>
    <w:p w:rsidR="00906F8E" w:rsidRPr="009F321D" w:rsidRDefault="00906F8E" w:rsidP="004259D5">
      <w:pPr>
        <w:tabs>
          <w:tab w:val="left" w:pos="2730"/>
          <w:tab w:val="left" w:pos="2850"/>
          <w:tab w:val="center" w:pos="4419"/>
        </w:tabs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</w:p>
    <w:p w:rsidR="00AF3326" w:rsidRPr="009F321D" w:rsidRDefault="00AF3326" w:rsidP="00B55A46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FD4495" w:rsidRPr="009F321D" w:rsidRDefault="00AF3326" w:rsidP="00AF332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OPERATORI I SHËRBIMEVE TË KUJDESIT SHËNDETËSOR SHPALL THIRRJEN PËR KONKURRIM PËR PROFESIONISTË TË SHKENCAVE MJEKËSORE TEKNIKE</w:t>
      </w:r>
    </w:p>
    <w:p w:rsidR="00AF3326" w:rsidRPr="009F321D" w:rsidRDefault="00AF3326" w:rsidP="00AF3326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</w:pPr>
    </w:p>
    <w:p w:rsidR="00AF3326" w:rsidRPr="009F321D" w:rsidRDefault="00AF3326" w:rsidP="004259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Në zbatim të Udh</w:t>
      </w:r>
      <w:r w:rsidR="00580DC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zim</w:t>
      </w:r>
      <w:r w:rsidR="00580DC6">
        <w:rPr>
          <w:rFonts w:ascii="Times New Roman" w:eastAsia="Times New Roman" w:hAnsi="Times New Roman" w:cs="Times New Roman"/>
          <w:sz w:val="24"/>
          <w:szCs w:val="24"/>
          <w:lang w:val="sq-AL"/>
        </w:rPr>
        <w:t>it</w:t>
      </w:r>
      <w:r w:rsidR="004259D5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Nr. 204, datë 09.04.2024 </w:t>
      </w:r>
      <w:r w:rsidR="00580DC6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Ministrit të Shëndetësisë dhe Mbrojtjes Sociale </w:t>
      </w:r>
      <w:r w:rsidR="004259D5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“Për procedurat e punësimit, emërimit, pezullimit, lirimit dhe të disiplinës për profesionet e shkencave mjekësore teknike në institucionet shëndetësore publike në Republikën e Shqipërisë, nëpërmjet platformës elektronike</w:t>
      </w:r>
      <w:r w:rsidR="009F321D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“Infermier për Shqipërinë</w:t>
      </w:r>
      <w:r w:rsidR="004259D5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”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, Operatori i Sh</w:t>
      </w:r>
      <w:r w:rsidR="004259D5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rbimeve t</w:t>
      </w:r>
      <w:r w:rsidR="004259D5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Kujdesit Sh</w:t>
      </w:r>
      <w:r w:rsidR="004259D5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ndet</w:t>
      </w:r>
      <w:r w:rsidR="004259D5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sor shpall thirrjen për konkurrim për profesionistë</w:t>
      </w:r>
      <w:r w:rsidR="00580D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 e 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shkencave</w:t>
      </w:r>
      <w:r w:rsidR="00D669C7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mjekësore</w:t>
      </w:r>
      <w:r w:rsidR="00D669C7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teknike p</w:t>
      </w:r>
      <w:r w:rsidR="00623D7F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669C7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 </w:t>
      </w:r>
      <w:r w:rsidR="00E30AD0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profilet</w:t>
      </w:r>
      <w:r w:rsidR="00623D7F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259D5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="00623D7F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nfermieri</w:t>
      </w:r>
      <w:r w:rsidR="00C2164B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4259D5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</w:t>
      </w:r>
      <w:r w:rsidR="00623D7F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ami</w:t>
      </w:r>
      <w:r w:rsidR="00C2164B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4259D5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Teknik Imazherie</w:t>
      </w:r>
      <w:r w:rsidR="00C2164B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4259D5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623D7F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eknik </w:t>
      </w:r>
      <w:r w:rsidR="004259D5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L</w:t>
      </w:r>
      <w:r w:rsidR="00623D7F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aboratori</w:t>
      </w:r>
      <w:r w:rsidR="00C2164B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4259D5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</w:t>
      </w:r>
      <w:r w:rsidR="00623D7F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izioterapi dhe </w:t>
      </w:r>
      <w:r w:rsidR="004259D5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L</w:t>
      </w:r>
      <w:r w:rsidR="00623D7F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ogopedi</w:t>
      </w:r>
      <w:r w:rsidR="00E30AD0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623D7F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623D7F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institucionet shëndetësore publike në Republikën e Shqipërisë.</w:t>
      </w:r>
    </w:p>
    <w:p w:rsidR="00C90930" w:rsidRPr="009F321D" w:rsidRDefault="00C90930" w:rsidP="00062F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Procesi i konkurrimit për profesionistët e shkencave mjekësore teknike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 zhvillohet p</w:t>
      </w:r>
      <w:r w:rsid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r:</w:t>
      </w:r>
    </w:p>
    <w:p w:rsidR="00CF1E2B" w:rsidRPr="00C90930" w:rsidRDefault="00062F93" w:rsidP="00C9093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të gjithë kandidatët që plotësojnë kriteret e përcaktuara në kuadrin ligjor në fuqi për ushtrimin e profesionit</w:t>
      </w:r>
      <w:r w:rsidR="00E61D48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8E636E" w:rsidRPr="00624851" w:rsidRDefault="00062F93" w:rsidP="008E636E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që kanë marrë pjesë në testimin me shkrim “Infermier për Shqipërinë” të thirrjes paraardhëse dhe që dëshirojnë të përmirësojnë rezultatin e tyre. N</w:t>
      </w:r>
      <w:r w:rsidR="008016B7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fund të konku</w:t>
      </w:r>
      <w:r w:rsidR="009F321D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rimit, kandidat</w:t>
      </w:r>
      <w:r w:rsidR="008016B7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ve do t</w:t>
      </w:r>
      <w:r w:rsidR="009F321D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’iu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njihen pikët </w:t>
      </w:r>
      <w:r w:rsidR="008E636E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DC56D4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</w:t>
      </w:r>
      <w:r w:rsidR="009F321D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c</w:t>
      </w:r>
      <w:r w:rsidR="00DC56D4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esit</w:t>
      </w:r>
      <w:r w:rsidR="008E636E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784310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84310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fundit</w:t>
      </w:r>
      <w:r w:rsidR="00DC56D4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8E636E" w:rsidRPr="00624851" w:rsidRDefault="00DC56D4" w:rsidP="00DC56D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8E636E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andidat</w:t>
      </w:r>
      <w:r w:rsidR="008016B7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E636E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t, t</w:t>
      </w:r>
      <w:r w:rsidR="008016B7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E636E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cil</w:t>
      </w:r>
      <w:r w:rsidR="008016B7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E636E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t kan</w:t>
      </w:r>
      <w:r w:rsidR="008016B7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E636E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qenë pjesëmarrës në procedurën e mëparshme të pranimit dhe ka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8016B7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E636E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dokumentacion shtesë, 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8E636E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depozito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jn</w:t>
      </w:r>
      <w:r w:rsidR="008016B7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E636E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at</w:t>
      </w:r>
      <w:r w:rsidR="00C2164B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E636E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Sekretariatit Teknik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8E636E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Komisioni i Vlerësimit mban procesverbal dhe shton pikët e kandidatit</w:t>
      </w:r>
      <w:r w:rsidR="008555D4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:rsidR="00DC56D4" w:rsidRPr="009F321D" w:rsidRDefault="00DC56D4" w:rsidP="00044E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Aplikimi dhe r</w:t>
      </w:r>
      <w:r w:rsidR="00044EAC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egjistrimi i kandidat</w:t>
      </w:r>
      <w:r w:rsidR="008016B7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044EAC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ve do t</w:t>
      </w:r>
      <w:r w:rsidR="008016B7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044EAC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kryhet </w:t>
      </w:r>
      <w:r w:rsidR="00044EAC" w:rsidRPr="009F32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vetëm nëpërmjet portalit “Infermierë për Shqipërinë”</w:t>
      </w:r>
      <w:r w:rsidR="002D71B3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2D71B3" w:rsidRPr="009F321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Afati për aplikim është nga data </w:t>
      </w:r>
      <w:r w:rsidR="009F321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</w:t>
      </w:r>
      <w:r w:rsidR="001C4B5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9</w:t>
      </w:r>
      <w:r w:rsidR="009F321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.08</w:t>
      </w:r>
      <w:r w:rsidR="002D71B3" w:rsidRPr="009F321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.202</w:t>
      </w:r>
      <w:r w:rsidR="00D4627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5</w:t>
      </w:r>
      <w:r w:rsidR="002D71B3" w:rsidRPr="009F321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deri më datë </w:t>
      </w:r>
      <w:r w:rsidR="00D4627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1</w:t>
      </w:r>
      <w:r w:rsidR="001C4B5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</w:t>
      </w:r>
      <w:r w:rsidR="002D71B3" w:rsidRPr="009F321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.09.202</w:t>
      </w:r>
      <w:r w:rsidR="00D4627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5</w:t>
      </w:r>
      <w:r w:rsidR="002D71B3" w:rsidRPr="009F321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, përfshirë të dyja këto data.</w:t>
      </w:r>
    </w:p>
    <w:p w:rsidR="0094379C" w:rsidRPr="009F321D" w:rsidRDefault="0094379C" w:rsidP="00044E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kanë të drejtë, që në një thirrje për aplikim, të konkurrojnë vetëm për një rajon, brenda të cilit do të mund të përzgjedhin deri në tri nj</w:t>
      </w:r>
      <w:r w:rsidR="008016B7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si vendore t</w:t>
      </w:r>
      <w:r w:rsidR="008016B7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kujdesit sh</w:t>
      </w:r>
      <w:r w:rsidR="008016B7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ndet</w:t>
      </w:r>
      <w:r w:rsidR="008016B7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sor.</w:t>
      </w:r>
    </w:p>
    <w:p w:rsidR="00AF3326" w:rsidRPr="009F321D" w:rsidRDefault="00AF3326" w:rsidP="00AF332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Dokument</w:t>
      </w:r>
      <w:r w:rsidR="003D63D4" w:rsidRPr="009F321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a</w:t>
      </w:r>
      <w:r w:rsidRPr="009F321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t e domosdoshëm për aplikim</w:t>
      </w:r>
      <w:r w:rsidRPr="009F32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 për profesionistët e shkencave mjekësore teknike:</w:t>
      </w:r>
    </w:p>
    <w:p w:rsidR="00DC56D4" w:rsidRPr="009F321D" w:rsidRDefault="00DC56D4" w:rsidP="002D71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a) jetëshkrim</w:t>
      </w:r>
      <w:r w:rsidR="00580DC6">
        <w:rPr>
          <w:rFonts w:ascii="Times New Roman" w:eastAsia="Times New Roman" w:hAnsi="Times New Roman" w:cs="Times New Roman"/>
          <w:sz w:val="24"/>
          <w:szCs w:val="24"/>
          <w:lang w:val="sq-AL"/>
        </w:rPr>
        <w:t>i i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kandidatit (CV) </w:t>
      </w:r>
      <w:r w:rsidR="0077680C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(s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htojca nr. 1, bashk</w:t>
      </w:r>
      <w:r w:rsidR="008016B7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lidhur k</w:t>
      </w:r>
      <w:r w:rsidR="008016B7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tij Njoftimi)</w:t>
      </w:r>
      <w:r w:rsidR="00580DC6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77680C" w:rsidRPr="009F321D" w:rsidRDefault="00DC56D4" w:rsidP="002D71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b) fotokopje </w:t>
      </w:r>
      <w:r w:rsidR="00D4627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letërnjoftimit (ID) – kriter i detyrueshëm për kualifikim</w:t>
      </w:r>
      <w:r w:rsidR="00580DC6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C65573" w:rsidRDefault="00DC56D4" w:rsidP="008D4B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c) fotokopje të librezës së punës (të gjitha faqet që vërtetojnë eksperiencën në punë dhe gjeneralitetet e kandidatit)</w:t>
      </w:r>
      <w:r w:rsidR="00580DC6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392621" w:rsidRDefault="00392621" w:rsidP="008D4B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92621" w:rsidRDefault="00392621" w:rsidP="008D4B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92621" w:rsidRDefault="00392621" w:rsidP="008D4B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92621" w:rsidRPr="009F321D" w:rsidRDefault="00392621" w:rsidP="008D4B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D71B3" w:rsidRPr="009F321D" w:rsidRDefault="00DC56D4" w:rsidP="00C655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d) diplomën universitare dhe listën e notave. Për kandidatët që kanë studiuar jashtë vendit, diploma e tyre duhet të jetë e njohur nga Ministria e Arsimit, Sportit dhe Rinisë (kriter i detyrueshëm për kualifikim)</w:t>
      </w:r>
      <w:r w:rsidR="00580DC6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DC56D4" w:rsidRPr="009F321D" w:rsidRDefault="00DC56D4" w:rsidP="002D71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e) lejen e ushtrimit të profesionit brenda afatit të vlefshmërisë (kriter i detyrueshëm për kualifikim)</w:t>
      </w:r>
      <w:r w:rsidR="00580DC6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DC56D4" w:rsidRPr="009F321D" w:rsidRDefault="00DC56D4" w:rsidP="002D71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f) deklaratë për vërtetësinë e dokumentacionit të ngarkuar on</w:t>
      </w:r>
      <w:r w:rsidR="001D259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-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line (shtojca nr. 2</w:t>
      </w:r>
      <w:r w:rsidR="0077680C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, bashk</w:t>
      </w:r>
      <w:r w:rsidR="008016B7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7680C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lidhur k</w:t>
      </w:r>
      <w:r w:rsidR="008016B7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7680C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tij Njoftimi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  <w:r w:rsidR="00580DC6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DC56D4" w:rsidRPr="009F321D" w:rsidRDefault="00DC56D4" w:rsidP="002D71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g) dëshmi të kualifikimeve shkencore (gradë ose titull akademik/shkencor)</w:t>
      </w:r>
      <w:r w:rsidR="00580DC6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DC56D4" w:rsidRPr="009F321D" w:rsidRDefault="00DC56D4" w:rsidP="002D71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h) dëshmi të njohjes së gjuhës/ve të huaja.</w:t>
      </w:r>
    </w:p>
    <w:p w:rsidR="002D71B3" w:rsidRPr="009F321D" w:rsidRDefault="002D71B3" w:rsidP="002D71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DC56D4" w:rsidRDefault="00DC56D4" w:rsidP="007768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Kandidati</w:t>
      </w:r>
      <w:r w:rsidR="002D71B3" w:rsidRPr="009F32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</w:t>
      </w:r>
      <w:r w:rsidRPr="009F32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dosja e të cilit nuk përmban dokumentet e detyrueshme si më sipër, skualifikohet.</w:t>
      </w:r>
    </w:p>
    <w:p w:rsidR="00784310" w:rsidRPr="00624851" w:rsidRDefault="00784310" w:rsidP="007768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Regjistrimi i kandidat</w:t>
      </w:r>
      <w:r w:rsid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ve b</w:t>
      </w:r>
      <w:r w:rsid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het vet</w:t>
      </w:r>
      <w:r w:rsid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 n</w:t>
      </w:r>
      <w:r w:rsid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</w:t>
      </w:r>
      <w:r w:rsid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rmjet portalit “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Infermier p</w:t>
      </w:r>
      <w:r w:rsid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 Shqip</w:t>
      </w:r>
      <w:r w:rsid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rin</w:t>
      </w:r>
      <w:r w:rsid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”.</w:t>
      </w:r>
    </w:p>
    <w:p w:rsidR="00443041" w:rsidRPr="00624851" w:rsidRDefault="004C1F13" w:rsidP="007768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</w:t>
      </w:r>
      <w:r w:rsidR="00443041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ler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443041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simi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443041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paraprak </w:t>
      </w:r>
      <w:r w:rsidR="00777F8C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i</w:t>
      </w:r>
      <w:r w:rsidR="00443041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kandidat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443041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ve do t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443041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publikohet 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dat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580DC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</w:t>
      </w:r>
      <w:r w:rsidR="007245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6</w:t>
      </w:r>
      <w:r w:rsidR="00777F8C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</w:t>
      </w:r>
      <w:r w:rsidR="00784310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10</w:t>
      </w:r>
      <w:r w:rsidR="0087083E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</w:t>
      </w:r>
      <w:r w:rsidR="00784310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2025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 Renditja fillon me kandidatin me më shumë pikë dhe vijon në rend zbritës.</w:t>
      </w:r>
    </w:p>
    <w:p w:rsidR="004C1F13" w:rsidRPr="00624851" w:rsidRDefault="004C1F13" w:rsidP="008016B7">
      <w:pPr>
        <w:autoSpaceDE w:val="0"/>
        <w:autoSpaceDN w:val="0"/>
        <w:adjustRightInd w:val="0"/>
        <w:jc w:val="both"/>
        <w:rPr>
          <w:rFonts w:ascii="Garamond" w:hAnsi="Garamond"/>
          <w:lang w:val="sq-AL"/>
          <w14:ligatures w14:val="standardContextual"/>
        </w:rPr>
      </w:pP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Kandidat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t, njoftohen nga Sekretariati Teknik i platformës “Infermier për Shqipërinë” n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t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nj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jt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 dit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q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C65573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do të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publikohet vler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simi paraprak n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portalin “Infermier p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 Shqip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rin</w:t>
      </w:r>
      <w:r w:rsidR="008016B7"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”.</w:t>
      </w:r>
      <w:r w:rsidRPr="00624851">
        <w:rPr>
          <w:rFonts w:ascii="Garamond" w:hAnsi="Garamond"/>
          <w:lang w:val="sq-AL"/>
          <w14:ligatures w14:val="standardContextual"/>
        </w:rPr>
        <w:t xml:space="preserve"> 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Njoftimi b</w:t>
      </w:r>
      <w:r w:rsidR="008016B7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het nëpërmjet postës elektronike si p</w:t>
      </w:r>
      <w:r w:rsidR="008016B7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r kandidatët e kualifikuar ashtu edhe ata të cilët nuk janë kualifikuar, duke arsyetuar shkaqet e skualifikimit.</w:t>
      </w:r>
    </w:p>
    <w:p w:rsidR="004C1F13" w:rsidRPr="00624851" w:rsidRDefault="004C1F13" w:rsidP="007768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248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Kandidatët kanë të drejtën e ankimit të vlerësimit brenda 48 orëve që nga marrja e njoftimit me email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, në ndërfaqen “Ankesa Ime” të platformës elektronike ose në adresën elektronike zyrtare nëpërmjet së cilës janë bërë me dije për vlerësimin apo moskualifikimin dhe/ose me shkresë drejtuar DROSHKSH-së përkatëse.</w:t>
      </w:r>
    </w:p>
    <w:p w:rsidR="00DC56D4" w:rsidRPr="009F321D" w:rsidRDefault="008016B7" w:rsidP="008555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Vler</w:t>
      </w:r>
      <w:r w:rsidR="008555D4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simi p</w:t>
      </w:r>
      <w:r w:rsidR="008555D4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rfundimtar i kandidat</w:t>
      </w:r>
      <w:r w:rsidR="008555D4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ve </w:t>
      </w:r>
      <w:r w:rsidR="007D7828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9F2956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D7828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r Faz</w:t>
      </w:r>
      <w:r w:rsidR="00580DC6">
        <w:rPr>
          <w:rFonts w:ascii="Times New Roman" w:eastAsia="Times New Roman" w:hAnsi="Times New Roman" w:cs="Times New Roman"/>
          <w:sz w:val="24"/>
          <w:szCs w:val="24"/>
          <w:lang w:val="sq-AL"/>
        </w:rPr>
        <w:t>ën e parë</w:t>
      </w:r>
      <w:r w:rsidR="007D7828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do t</w:t>
      </w:r>
      <w:r w:rsidR="008555D4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publikohet m</w:t>
      </w:r>
      <w:r w:rsidR="008555D4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dat</w:t>
      </w:r>
      <w:r w:rsidR="008555D4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1</w:t>
      </w:r>
      <w:r w:rsidR="007245BD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.10.202</w:t>
      </w:r>
      <w:r w:rsidR="0087083E"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pasqyrohen ndryshimet pas p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rfundimit t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afatit t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ankimimeve dhe shqyrtimit t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tyre. </w:t>
      </w:r>
      <w:r w:rsidR="002D71B3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andidat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t, t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cil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t kan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suar ndryshime n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vler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simin e tyre, do t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njoftohen nga Se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kretariati Teknik </w:t>
      </w:r>
      <w:r w:rsidR="00580DC6">
        <w:rPr>
          <w:rFonts w:ascii="Times New Roman" w:eastAsia="Times New Roman" w:hAnsi="Times New Roman" w:cs="Times New Roman"/>
          <w:sz w:val="24"/>
          <w:szCs w:val="24"/>
          <w:lang w:val="sq-AL"/>
        </w:rPr>
        <w:t>përkatë</w:t>
      </w:r>
      <w:r w:rsidR="007245B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 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nëpërmjet postës elektronike të vendosur në aplikimin e tyre. </w:t>
      </w:r>
    </w:p>
    <w:p w:rsidR="00AF3326" w:rsidRPr="009F321D" w:rsidRDefault="00AF3326" w:rsidP="00AF332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Vlerësimi i kandidatit</w:t>
      </w:r>
    </w:p>
    <w:p w:rsidR="008555D4" w:rsidRPr="009F321D" w:rsidRDefault="00AF3326" w:rsidP="008555D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Faza I: Vlerësimi i dosjes së kandidatëve</w:t>
      </w:r>
      <w:r w:rsidR="00E61D4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: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 konsiston në vlerësimin e arsimimit, të përvojës e të trajnimeve, të lidhura me fushën, deri në </w:t>
      </w:r>
      <w:r w:rsidRPr="009F32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30 pikë</w:t>
      </w:r>
      <w:r w:rsidR="007D7828" w:rsidRPr="009F32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 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7D7828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Kriteret e vlerësimit dhe shkalla e vlerësimit të kualifikimeve nga dosja e kandidatëve përcaktohen sipas Shtojca Nr. 3, bashkëlidhur këtij Njoftimi</w:t>
      </w:r>
      <w:r w:rsidR="00777F8C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F70DD0" w:rsidRPr="009F321D" w:rsidRDefault="00AF3326" w:rsidP="002B464B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lang w:val="sq-AL"/>
          <w14:ligatures w14:val="standardContextual"/>
        </w:rPr>
      </w:pPr>
      <w:r w:rsidRPr="009F321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Faza</w:t>
      </w:r>
      <w:r w:rsidR="008555D4" w:rsidRPr="009F321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9F321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II: Testimi i informatizuar</w:t>
      </w:r>
      <w:r w:rsidR="00E61D4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: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 marrin pjesë kandidatët që kanë kaluar me sukses fazën e parë të vlerësimit me dosje</w:t>
      </w:r>
      <w:r w:rsidR="007D7828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 dhe kandidat</w:t>
      </w:r>
      <w:r w:rsidR="009F2956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D7828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0264E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që janë në listë pritjeje dhe dëshirojnë të përmirësojnë rezultatin e testimit të mëparshëm, duke u regjistruar pran</w:t>
      </w:r>
      <w:r w:rsidR="009F2956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0264E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70DD0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d</w:t>
      </w:r>
      <w:r w:rsidR="0050264E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rejtoris</w:t>
      </w:r>
      <w:r w:rsidR="009F2956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0264E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rajonale p</w:t>
      </w:r>
      <w:r w:rsidR="009F2956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0264E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rkat</w:t>
      </w:r>
      <w:r w:rsidR="009F2956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0264E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="008D4B2C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50264E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</w:t>
      </w:r>
      <w:r w:rsidR="0050264E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="008555D4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informatizuar vlerësohet 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deri në </w:t>
      </w:r>
      <w:r w:rsidRPr="009F32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70 pikë</w:t>
      </w:r>
      <w:r w:rsidR="00C662F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 </w:t>
      </w:r>
      <w:r w:rsidR="00F70DD0" w:rsidRPr="009F321D">
        <w:rPr>
          <w:rFonts w:ascii="Garamond" w:hAnsi="Garamond"/>
          <w:lang w:val="sq-AL"/>
          <w14:ligatures w14:val="standardContextual"/>
        </w:rPr>
        <w:t xml:space="preserve"> </w:t>
      </w:r>
    </w:p>
    <w:p w:rsidR="007D7828" w:rsidRPr="009F321D" w:rsidRDefault="00F70DD0" w:rsidP="00F70DD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Qendra e Shërbimeve Arsimore, është institucioni përgjegjës për zhvillimin e Fa</w:t>
      </w:r>
      <w:r w:rsidR="00E61D48">
        <w:rPr>
          <w:rFonts w:ascii="Times New Roman" w:eastAsia="Times New Roman" w:hAnsi="Times New Roman" w:cs="Times New Roman"/>
          <w:sz w:val="24"/>
          <w:szCs w:val="24"/>
          <w:lang w:val="sq-AL"/>
        </w:rPr>
        <w:t>zës së dytë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, Testimi i Informatizuar, në ambientet e saj (</w:t>
      </w:r>
      <w:r w:rsidR="00AF3326" w:rsidRPr="009F321D">
        <w:rPr>
          <w:rFonts w:ascii="Times New Roman" w:eastAsia="Times New Roman" w:hAnsi="Times New Roman" w:cs="Times New Roman"/>
          <w:bCs/>
          <w:iCs/>
          <w:sz w:val="24"/>
          <w:szCs w:val="24"/>
          <w:lang w:val="sq-AL"/>
        </w:rPr>
        <w:t>Qendr</w:t>
      </w:r>
      <w:r w:rsidRPr="009F321D">
        <w:rPr>
          <w:rFonts w:ascii="Times New Roman" w:eastAsia="Times New Roman" w:hAnsi="Times New Roman" w:cs="Times New Roman"/>
          <w:bCs/>
          <w:iCs/>
          <w:sz w:val="24"/>
          <w:szCs w:val="24"/>
          <w:lang w:val="sq-AL"/>
        </w:rPr>
        <w:t>a</w:t>
      </w:r>
      <w:r w:rsidR="00AF3326" w:rsidRPr="009F321D">
        <w:rPr>
          <w:rFonts w:ascii="Times New Roman" w:eastAsia="Times New Roman" w:hAnsi="Times New Roman" w:cs="Times New Roman"/>
          <w:bCs/>
          <w:iCs/>
          <w:sz w:val="24"/>
          <w:szCs w:val="24"/>
          <w:lang w:val="sq-AL"/>
        </w:rPr>
        <w:t xml:space="preserve"> </w:t>
      </w:r>
      <w:r w:rsidRPr="009F321D">
        <w:rPr>
          <w:rFonts w:ascii="Times New Roman" w:eastAsia="Times New Roman" w:hAnsi="Times New Roman" w:cs="Times New Roman"/>
          <w:bCs/>
          <w:iCs/>
          <w:sz w:val="24"/>
          <w:szCs w:val="24"/>
          <w:lang w:val="sq-AL"/>
        </w:rPr>
        <w:t>e</w:t>
      </w:r>
      <w:r w:rsidR="00AF3326" w:rsidRPr="009F321D">
        <w:rPr>
          <w:rFonts w:ascii="Times New Roman" w:eastAsia="Times New Roman" w:hAnsi="Times New Roman" w:cs="Times New Roman"/>
          <w:bCs/>
          <w:iCs/>
          <w:sz w:val="24"/>
          <w:szCs w:val="24"/>
          <w:lang w:val="sq-AL"/>
        </w:rPr>
        <w:t xml:space="preserve"> Shërbimeve Arsimore</w:t>
      </w:r>
      <w:r w:rsidRPr="009F321D">
        <w:rPr>
          <w:rFonts w:ascii="Times New Roman" w:eastAsia="Times New Roman" w:hAnsi="Times New Roman" w:cs="Times New Roman"/>
          <w:bCs/>
          <w:iCs/>
          <w:sz w:val="24"/>
          <w:szCs w:val="24"/>
          <w:lang w:val="sq-AL"/>
        </w:rPr>
        <w:t xml:space="preserve"> </w:t>
      </w:r>
      <w:r w:rsidR="00AF3326" w:rsidRPr="009F321D">
        <w:rPr>
          <w:rFonts w:ascii="Times New Roman" w:eastAsia="Times New Roman" w:hAnsi="Times New Roman" w:cs="Times New Roman"/>
          <w:bCs/>
          <w:iCs/>
          <w:sz w:val="24"/>
          <w:szCs w:val="24"/>
          <w:lang w:val="sq-AL"/>
        </w:rPr>
        <w:t>me adresë: Bulevardi “Zhan D’Ark”, Nr. 23, Tiranë</w:t>
      </w:r>
      <w:r w:rsidRPr="009F321D">
        <w:rPr>
          <w:rFonts w:ascii="Times New Roman" w:eastAsia="Times New Roman" w:hAnsi="Times New Roman" w:cs="Times New Roman"/>
          <w:bCs/>
          <w:iCs/>
          <w:sz w:val="24"/>
          <w:szCs w:val="24"/>
          <w:lang w:val="sq-AL"/>
        </w:rPr>
        <w:t>, ish</w:t>
      </w:r>
      <w:r w:rsidR="00AF3326" w:rsidRPr="009F321D">
        <w:rPr>
          <w:rFonts w:ascii="Times New Roman" w:eastAsia="Times New Roman" w:hAnsi="Times New Roman" w:cs="Times New Roman"/>
          <w:bCs/>
          <w:iCs/>
          <w:sz w:val="24"/>
          <w:szCs w:val="24"/>
          <w:lang w:val="sq-AL"/>
        </w:rPr>
        <w:t>-ATSH).</w:t>
      </w:r>
    </w:p>
    <w:p w:rsidR="00AF3326" w:rsidRPr="009F321D" w:rsidRDefault="00AF3326" w:rsidP="00AF332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Ditën e testimit, kandidati duhet të</w:t>
      </w:r>
      <w:r w:rsidR="00623D7F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jetë i pajisur me:</w:t>
      </w:r>
    </w:p>
    <w:p w:rsidR="00AF3326" w:rsidRPr="009F321D" w:rsidRDefault="00AF3326" w:rsidP="00AF3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Letërnjoftim (Kartë ID ose</w:t>
      </w:r>
      <w:r w:rsidR="00AA410D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Pasaportë, dokumenti origjinal)</w:t>
      </w:r>
      <w:r w:rsidR="00E61D48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AF3326" w:rsidRPr="009F321D" w:rsidRDefault="00AF3326" w:rsidP="00AF3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Kopje të Kartës ID ose</w:t>
      </w:r>
      <w:r w:rsidR="00AA410D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Pasaportës</w:t>
      </w:r>
      <w:r w:rsidR="00E61D48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AF3326" w:rsidRDefault="00AF3326" w:rsidP="00AF3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Faturën me pagesën e tarifës</w:t>
      </w:r>
      <w:r w:rsidR="00AA410D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për QSHA-në.</w:t>
      </w:r>
    </w:p>
    <w:p w:rsidR="00C65573" w:rsidRDefault="00C65573" w:rsidP="00C6557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65573" w:rsidRPr="009F321D" w:rsidRDefault="00C65573" w:rsidP="00C6557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B464B" w:rsidRPr="009F321D" w:rsidRDefault="002B464B" w:rsidP="002B464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Fusha kryesore e testimit të njohurive:</w:t>
      </w:r>
    </w:p>
    <w:p w:rsidR="002B464B" w:rsidRPr="009F321D" w:rsidRDefault="002B464B" w:rsidP="002B46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Kodi Etik-Deontologjik.</w:t>
      </w:r>
    </w:p>
    <w:p w:rsidR="002B464B" w:rsidRPr="009F321D" w:rsidRDefault="002B464B" w:rsidP="002B46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Ligji nr.10 107, datë 30.3.2009 “Për kujdesin shëndetësor në Republikën e Shqipërisë”, i ndryshuar.</w:t>
      </w:r>
    </w:p>
    <w:p w:rsidR="001D2594" w:rsidRPr="00624851" w:rsidRDefault="002B464B" w:rsidP="002B46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Ligji nr.9718, datë 19.4.2007 “Për Urdhërin e Infermierit në Republikën e Shqipërisë”.</w:t>
      </w:r>
    </w:p>
    <w:p w:rsidR="002B464B" w:rsidRPr="00624851" w:rsidRDefault="003F2B30" w:rsidP="002B46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24851">
        <w:rPr>
          <w:rFonts w:ascii="Times New Roman" w:eastAsia="Times New Roman" w:hAnsi="Times New Roman" w:cs="Times New Roman"/>
          <w:sz w:val="24"/>
          <w:szCs w:val="24"/>
          <w:lang w:val="sq-AL"/>
        </w:rPr>
        <w:t>Pyetje të hartuara që lidhen me formimin profesional në bazë profili, sipsas një metodologjie nga Udhëzimi Nr. 204, datë 09.04.2024.</w:t>
      </w:r>
    </w:p>
    <w:p w:rsidR="002B464B" w:rsidRPr="009F321D" w:rsidRDefault="002B464B" w:rsidP="002B4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Kalendari i testimit (i përgatitur nga QSHA) publikohet dhe në portalin “Infermierë</w:t>
      </w:r>
      <w:r w:rsidRPr="009F321D">
        <w:rPr>
          <w:rFonts w:ascii="Garamond" w:hAnsi="Garamond"/>
          <w:lang w:val="sq-AL"/>
          <w14:ligatures w14:val="standardContextual"/>
        </w:rPr>
        <w:t xml:space="preserve"> 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për Shqipërinë”.</w:t>
      </w:r>
    </w:p>
    <w:p w:rsidR="00C6119B" w:rsidRPr="009F321D" w:rsidRDefault="00C6119B" w:rsidP="002B464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>Në përfundim të pro</w:t>
      </w:r>
      <w:r w:rsidR="00777F8C">
        <w:rPr>
          <w:rFonts w:ascii="Times New Roman" w:eastAsia="Times New Roman" w:hAnsi="Times New Roman" w:cs="Times New Roman"/>
          <w:sz w:val="24"/>
          <w:szCs w:val="24"/>
          <w:lang w:val="sq-AL"/>
        </w:rPr>
        <w:t>c</w:t>
      </w:r>
      <w:r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edurës së vlerësimit si dhe afateve për shqyrtimin e ankimeve (Faza I dhe Faza II) publikohet në portalin “Infermier për Shqipërinë” lista e kandidatëve që kanë përfunduar me sukses proçesin e konkurrimit. </w:t>
      </w:r>
      <w:r w:rsidR="007D7828" w:rsidRPr="009F32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Renditja fillon me kandidatin me më shumë pikë dhe vijon në rend zbritës. </w:t>
      </w:r>
    </w:p>
    <w:p w:rsidR="008555D4" w:rsidRPr="009F321D" w:rsidRDefault="00C6119B" w:rsidP="002B464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F32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Kandidati</w:t>
      </w:r>
      <w:r w:rsidR="007D7828" w:rsidRPr="009F32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konsiderohet fitues nëse ka marrë mbi 40 pikë</w:t>
      </w:r>
      <w:r w:rsidR="002B464B" w:rsidRPr="009F32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në total dhe bëhet pjesë e listëpritjes së profesionistëve të shkencave mjekësore teknike të njësive vendore të kujdesit shëndetësor të rajonit në të cilin ka aplikuar. </w:t>
      </w:r>
    </w:p>
    <w:p w:rsidR="00AF3326" w:rsidRPr="009F321D" w:rsidRDefault="00624851" w:rsidP="0062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Në vijim, lista e institucioneve shëndetësore të grupuara sipas njësive vendore të kujdesit shëndetësor</w:t>
      </w:r>
      <w:r w:rsidR="00F3118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çdo rajon.</w:t>
      </w:r>
    </w:p>
    <w:p w:rsidR="00C6119B" w:rsidRPr="009F321D" w:rsidRDefault="00C6119B" w:rsidP="0085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6119B" w:rsidRPr="009F321D" w:rsidRDefault="00C6119B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555D4" w:rsidRPr="009F321D" w:rsidRDefault="008555D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24851" w:rsidRDefault="00624851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24851" w:rsidRDefault="00624851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24851" w:rsidRDefault="00624851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24851" w:rsidRPr="009F321D" w:rsidRDefault="00624851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594" w:rsidRPr="009F321D" w:rsidRDefault="001D2594" w:rsidP="008555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37110" w:rsidRPr="009F321D" w:rsidRDefault="00237110" w:rsidP="00237110">
      <w:pPr>
        <w:tabs>
          <w:tab w:val="left" w:pos="0"/>
          <w:tab w:val="left" w:pos="260"/>
          <w:tab w:val="left" w:pos="440"/>
        </w:tabs>
        <w:autoSpaceDE w:val="0"/>
        <w:autoSpaceDN w:val="0"/>
        <w:adjustRightInd w:val="0"/>
        <w:ind w:firstLine="284"/>
        <w:jc w:val="both"/>
        <w:rPr>
          <w:rFonts w:ascii="Garamond" w:hAnsi="Garamond"/>
          <w:lang w:val="sq-AL"/>
          <w14:ligatures w14:val="standardContextual"/>
        </w:rPr>
      </w:pPr>
    </w:p>
    <w:p w:rsidR="00624851" w:rsidRDefault="00624851" w:rsidP="001D2594">
      <w:pPr>
        <w:spacing w:after="0" w:line="444" w:lineRule="auto"/>
        <w:ind w:left="-15" w:firstLine="8406"/>
        <w:rPr>
          <w:rFonts w:ascii="Times New Roman" w:hAnsi="Times New Roman" w:cs="Times New Roman"/>
          <w:b/>
          <w:lang w:val="sq-AL"/>
        </w:rPr>
      </w:pPr>
    </w:p>
    <w:p w:rsidR="001D2594" w:rsidRPr="00624851" w:rsidRDefault="001D2594" w:rsidP="001D2594">
      <w:pPr>
        <w:spacing w:after="0" w:line="444" w:lineRule="auto"/>
        <w:ind w:left="-15" w:firstLine="8406"/>
        <w:rPr>
          <w:rFonts w:ascii="Times New Roman" w:hAnsi="Times New Roman" w:cs="Times New Roman"/>
          <w:lang w:val="sq-AL"/>
        </w:rPr>
      </w:pPr>
      <w:r w:rsidRPr="00624851">
        <w:rPr>
          <w:rFonts w:ascii="Times New Roman" w:hAnsi="Times New Roman" w:cs="Times New Roman"/>
          <w:b/>
          <w:lang w:val="sq-AL"/>
        </w:rPr>
        <w:t>Shtojca nr. 1</w:t>
      </w:r>
    </w:p>
    <w:p w:rsidR="00624851" w:rsidRDefault="00624851" w:rsidP="001D2594">
      <w:pPr>
        <w:ind w:left="294" w:right="285"/>
        <w:jc w:val="center"/>
        <w:rPr>
          <w:rFonts w:ascii="Times New Roman" w:hAnsi="Times New Roman" w:cs="Times New Roman"/>
          <w:lang w:val="sq-AL"/>
        </w:rPr>
      </w:pPr>
    </w:p>
    <w:p w:rsidR="001D2594" w:rsidRDefault="001D2594" w:rsidP="001D2594">
      <w:pPr>
        <w:ind w:left="294" w:right="285"/>
        <w:jc w:val="center"/>
        <w:rPr>
          <w:rFonts w:ascii="Times New Roman" w:hAnsi="Times New Roman" w:cs="Times New Roman"/>
          <w:lang w:val="sq-AL"/>
        </w:rPr>
      </w:pPr>
      <w:r w:rsidRPr="00624851">
        <w:rPr>
          <w:rFonts w:ascii="Times New Roman" w:hAnsi="Times New Roman" w:cs="Times New Roman"/>
          <w:lang w:val="sq-AL"/>
        </w:rPr>
        <w:t>CURRICULUM VITAE</w:t>
      </w:r>
    </w:p>
    <w:p w:rsidR="00624851" w:rsidRPr="00624851" w:rsidRDefault="00624851" w:rsidP="001D2594">
      <w:pPr>
        <w:ind w:left="294" w:right="285"/>
        <w:jc w:val="center"/>
        <w:rPr>
          <w:rFonts w:ascii="Times New Roman" w:hAnsi="Times New Roman" w:cs="Times New Roman"/>
          <w:lang w:val="sq-AL"/>
        </w:rPr>
      </w:pPr>
    </w:p>
    <w:p w:rsidR="001D2594" w:rsidRPr="00624851" w:rsidRDefault="001D2594" w:rsidP="001D2594">
      <w:pPr>
        <w:spacing w:after="0" w:line="220" w:lineRule="auto"/>
        <w:ind w:left="-5" w:right="7385"/>
        <w:rPr>
          <w:rFonts w:ascii="Times New Roman" w:hAnsi="Times New Roman" w:cs="Times New Roman"/>
          <w:lang w:val="sq-AL"/>
        </w:rPr>
      </w:pPr>
      <w:r w:rsidRPr="00624851">
        <w:rPr>
          <w:rFonts w:ascii="Times New Roman" w:hAnsi="Times New Roman" w:cs="Times New Roman"/>
          <w:lang w:val="sq-AL"/>
        </w:rPr>
        <w:t xml:space="preserve">Emri, Mbiemri Datëlindja: </w:t>
      </w:r>
    </w:p>
    <w:p w:rsidR="001D2594" w:rsidRPr="00624851" w:rsidRDefault="001D2594" w:rsidP="001D2594">
      <w:pPr>
        <w:spacing w:after="0" w:line="220" w:lineRule="auto"/>
        <w:ind w:left="-5" w:right="7385"/>
        <w:rPr>
          <w:rFonts w:ascii="Times New Roman" w:hAnsi="Times New Roman" w:cs="Times New Roman"/>
          <w:lang w:val="sq-AL"/>
        </w:rPr>
      </w:pPr>
      <w:r w:rsidRPr="00624851">
        <w:rPr>
          <w:rFonts w:ascii="Times New Roman" w:hAnsi="Times New Roman" w:cs="Times New Roman"/>
          <w:lang w:val="sq-AL"/>
        </w:rPr>
        <w:t>dd/mm/vvvv Telefoni:</w:t>
      </w:r>
    </w:p>
    <w:p w:rsidR="001D2594" w:rsidRPr="00624851" w:rsidRDefault="001D2594" w:rsidP="001D2594">
      <w:pPr>
        <w:ind w:left="-5" w:right="7766"/>
        <w:rPr>
          <w:rFonts w:ascii="Times New Roman" w:hAnsi="Times New Roman" w:cs="Times New Roman"/>
          <w:lang w:val="sq-AL"/>
        </w:rPr>
      </w:pPr>
      <w:r w:rsidRPr="00624851">
        <w:rPr>
          <w:rFonts w:ascii="Times New Roman" w:hAnsi="Times New Roman" w:cs="Times New Roman"/>
          <w:lang w:val="sq-AL"/>
        </w:rPr>
        <w:t xml:space="preserve">Adresa: </w:t>
      </w:r>
      <w:r w:rsidRPr="00624851">
        <w:rPr>
          <w:rFonts w:ascii="Times New Roman" w:hAnsi="Times New Roman" w:cs="Times New Roman"/>
          <w:i/>
          <w:lang w:val="sq-AL"/>
        </w:rPr>
        <w:t>Email</w:t>
      </w:r>
      <w:r w:rsidRPr="00624851">
        <w:rPr>
          <w:rFonts w:ascii="Times New Roman" w:hAnsi="Times New Roman" w:cs="Times New Roman"/>
          <w:lang w:val="sq-AL"/>
        </w:rPr>
        <w:t>-i:</w:t>
      </w:r>
    </w:p>
    <w:p w:rsidR="001D2594" w:rsidRPr="00624851" w:rsidRDefault="001D2594" w:rsidP="001D2594">
      <w:pPr>
        <w:ind w:left="-5"/>
        <w:rPr>
          <w:rFonts w:ascii="Times New Roman" w:hAnsi="Times New Roman" w:cs="Times New Roman"/>
          <w:lang w:val="sq-AL"/>
        </w:rPr>
      </w:pPr>
      <w:r w:rsidRPr="00624851">
        <w:rPr>
          <w:rFonts w:ascii="Times New Roman" w:hAnsi="Times New Roman" w:cs="Times New Roman"/>
          <w:lang w:val="sq-AL"/>
        </w:rPr>
        <w:t>Arsimi:</w:t>
      </w:r>
    </w:p>
    <w:p w:rsidR="001D2594" w:rsidRPr="00624851" w:rsidRDefault="001D2594" w:rsidP="001D2594">
      <w:pPr>
        <w:ind w:left="-5"/>
        <w:rPr>
          <w:rFonts w:ascii="Times New Roman" w:hAnsi="Times New Roman" w:cs="Times New Roman"/>
          <w:lang w:val="sq-AL"/>
        </w:rPr>
      </w:pPr>
      <w:r w:rsidRPr="00624851">
        <w:rPr>
          <w:rFonts w:ascii="Times New Roman" w:hAnsi="Times New Roman" w:cs="Times New Roman"/>
          <w:lang w:val="sq-AL"/>
        </w:rPr>
        <w:t>Leja e ushtrimit të profesionit ______, (nr... data e lëshimit):</w:t>
      </w:r>
    </w:p>
    <w:p w:rsidR="001D2594" w:rsidRPr="00624851" w:rsidRDefault="001D2594" w:rsidP="001D2594">
      <w:pPr>
        <w:ind w:left="-5"/>
        <w:rPr>
          <w:rFonts w:ascii="Times New Roman" w:hAnsi="Times New Roman" w:cs="Times New Roman"/>
          <w:lang w:val="sq-AL"/>
        </w:rPr>
      </w:pPr>
      <w:r w:rsidRPr="00624851">
        <w:rPr>
          <w:rFonts w:ascii="Times New Roman" w:hAnsi="Times New Roman" w:cs="Times New Roman"/>
          <w:lang w:val="sq-AL"/>
        </w:rPr>
        <w:t>Kualifikimi Shkencor</w:t>
      </w:r>
    </w:p>
    <w:p w:rsidR="001D2594" w:rsidRPr="00624851" w:rsidRDefault="001D2594" w:rsidP="001D2594">
      <w:pPr>
        <w:ind w:left="-5"/>
        <w:rPr>
          <w:rFonts w:ascii="Times New Roman" w:hAnsi="Times New Roman" w:cs="Times New Roman"/>
          <w:lang w:val="sq-AL"/>
        </w:rPr>
      </w:pPr>
      <w:r w:rsidRPr="00624851">
        <w:rPr>
          <w:rFonts w:ascii="Times New Roman" w:hAnsi="Times New Roman" w:cs="Times New Roman"/>
          <w:lang w:val="sq-AL"/>
        </w:rPr>
        <w:t>Punësimi: vitet dhe institucioni</w:t>
      </w:r>
    </w:p>
    <w:p w:rsidR="001D2594" w:rsidRPr="00624851" w:rsidRDefault="001D2594" w:rsidP="001D2594">
      <w:pPr>
        <w:ind w:left="-5"/>
        <w:rPr>
          <w:rFonts w:ascii="Times New Roman" w:hAnsi="Times New Roman" w:cs="Times New Roman"/>
          <w:lang w:val="sq-AL"/>
        </w:rPr>
      </w:pPr>
      <w:r w:rsidRPr="00624851">
        <w:rPr>
          <w:rFonts w:ascii="Times New Roman" w:hAnsi="Times New Roman" w:cs="Times New Roman"/>
          <w:lang w:val="sq-AL"/>
        </w:rPr>
        <w:t>Publikimet në fushën e shëndetësisë dhe fakti nëse është autor i parë ose bashkautor</w:t>
      </w:r>
    </w:p>
    <w:p w:rsidR="001D2594" w:rsidRPr="00624851" w:rsidRDefault="001D2594" w:rsidP="001D2594">
      <w:pPr>
        <w:spacing w:after="221"/>
        <w:ind w:left="-5"/>
        <w:rPr>
          <w:rFonts w:ascii="Times New Roman" w:hAnsi="Times New Roman" w:cs="Times New Roman"/>
          <w:lang w:val="sq-AL"/>
        </w:rPr>
      </w:pPr>
      <w:r w:rsidRPr="00624851">
        <w:rPr>
          <w:rFonts w:ascii="Times New Roman" w:hAnsi="Times New Roman" w:cs="Times New Roman"/>
          <w:lang w:val="sq-AL"/>
        </w:rPr>
        <w:t>Gjuhë të huaja: niveli/nota dhe institucioni që e ka lëshuar</w:t>
      </w:r>
    </w:p>
    <w:p w:rsidR="001D2594" w:rsidRPr="00624851" w:rsidRDefault="001D2594" w:rsidP="001D2594">
      <w:pPr>
        <w:spacing w:after="226"/>
        <w:ind w:left="-5"/>
        <w:rPr>
          <w:rFonts w:ascii="Times New Roman" w:hAnsi="Times New Roman" w:cs="Times New Roman"/>
          <w:b/>
          <w:lang w:val="sq-AL"/>
        </w:rPr>
      </w:pPr>
    </w:p>
    <w:p w:rsidR="001D2594" w:rsidRPr="009F321D" w:rsidRDefault="001D2594" w:rsidP="001D2594">
      <w:pPr>
        <w:spacing w:after="226"/>
        <w:ind w:left="-5"/>
        <w:rPr>
          <w:b/>
          <w:lang w:val="sq-AL"/>
        </w:rPr>
      </w:pPr>
    </w:p>
    <w:p w:rsidR="001D2594" w:rsidRPr="009F321D" w:rsidRDefault="001D2594" w:rsidP="001D2594">
      <w:pPr>
        <w:spacing w:after="226"/>
        <w:ind w:left="-5"/>
        <w:rPr>
          <w:b/>
          <w:lang w:val="sq-AL"/>
        </w:rPr>
      </w:pPr>
    </w:p>
    <w:p w:rsidR="001D2594" w:rsidRPr="009F321D" w:rsidRDefault="001D2594" w:rsidP="001D2594">
      <w:pPr>
        <w:spacing w:after="226"/>
        <w:ind w:left="-5"/>
        <w:rPr>
          <w:b/>
          <w:lang w:val="sq-AL"/>
        </w:rPr>
      </w:pPr>
    </w:p>
    <w:p w:rsidR="001D2594" w:rsidRPr="009F321D" w:rsidRDefault="001D2594" w:rsidP="001D2594">
      <w:pPr>
        <w:spacing w:after="226"/>
        <w:ind w:left="-5"/>
        <w:rPr>
          <w:b/>
          <w:lang w:val="sq-AL"/>
        </w:rPr>
      </w:pPr>
    </w:p>
    <w:p w:rsidR="001D2594" w:rsidRPr="009F321D" w:rsidRDefault="001D2594" w:rsidP="001D2594">
      <w:pPr>
        <w:spacing w:after="226"/>
        <w:ind w:left="-5"/>
        <w:rPr>
          <w:b/>
          <w:lang w:val="sq-AL"/>
        </w:rPr>
      </w:pPr>
    </w:p>
    <w:p w:rsidR="001D2594" w:rsidRPr="009F321D" w:rsidRDefault="001D2594" w:rsidP="001D2594">
      <w:pPr>
        <w:spacing w:after="226"/>
        <w:ind w:left="-5"/>
        <w:rPr>
          <w:b/>
          <w:lang w:val="sq-AL"/>
        </w:rPr>
      </w:pPr>
    </w:p>
    <w:p w:rsidR="001D2594" w:rsidRPr="009F321D" w:rsidRDefault="001D2594" w:rsidP="001D2594">
      <w:pPr>
        <w:spacing w:after="226"/>
        <w:ind w:left="-5"/>
        <w:rPr>
          <w:b/>
          <w:lang w:val="sq-AL"/>
        </w:rPr>
      </w:pPr>
    </w:p>
    <w:p w:rsidR="001D2594" w:rsidRPr="009F321D" w:rsidRDefault="001D2594" w:rsidP="001D2594">
      <w:pPr>
        <w:spacing w:after="226"/>
        <w:ind w:left="-5"/>
        <w:rPr>
          <w:b/>
          <w:lang w:val="sq-AL"/>
        </w:rPr>
      </w:pPr>
    </w:p>
    <w:p w:rsidR="001D2594" w:rsidRPr="009F321D" w:rsidRDefault="001D2594" w:rsidP="001D2594">
      <w:pPr>
        <w:spacing w:after="226"/>
        <w:ind w:left="-5"/>
        <w:rPr>
          <w:b/>
          <w:lang w:val="sq-AL"/>
        </w:rPr>
      </w:pPr>
    </w:p>
    <w:p w:rsidR="001D2594" w:rsidRPr="009F321D" w:rsidRDefault="001D2594" w:rsidP="001D2594">
      <w:pPr>
        <w:spacing w:after="226"/>
        <w:ind w:left="-5"/>
        <w:rPr>
          <w:b/>
          <w:lang w:val="sq-AL"/>
        </w:rPr>
      </w:pPr>
    </w:p>
    <w:p w:rsidR="001D2594" w:rsidRPr="009F321D" w:rsidRDefault="001D2594" w:rsidP="001D2594">
      <w:pPr>
        <w:spacing w:after="226"/>
        <w:ind w:left="-5"/>
        <w:rPr>
          <w:b/>
          <w:lang w:val="sq-AL"/>
        </w:rPr>
      </w:pPr>
    </w:p>
    <w:p w:rsidR="001D2594" w:rsidRPr="009F321D" w:rsidRDefault="001D2594" w:rsidP="001D2594">
      <w:pPr>
        <w:spacing w:after="226"/>
        <w:ind w:left="-5"/>
        <w:rPr>
          <w:b/>
          <w:lang w:val="sq-AL"/>
        </w:rPr>
      </w:pPr>
    </w:p>
    <w:p w:rsidR="001D2594" w:rsidRPr="009F321D" w:rsidRDefault="001D2594" w:rsidP="001D2594">
      <w:pPr>
        <w:spacing w:after="226"/>
        <w:ind w:left="-5"/>
        <w:rPr>
          <w:b/>
          <w:lang w:val="sq-AL"/>
        </w:rPr>
      </w:pPr>
    </w:p>
    <w:p w:rsidR="001D2594" w:rsidRPr="009F321D" w:rsidRDefault="001D2594" w:rsidP="001D2594">
      <w:pPr>
        <w:spacing w:after="226"/>
        <w:ind w:left="-5"/>
        <w:rPr>
          <w:b/>
          <w:lang w:val="sq-AL"/>
        </w:rPr>
      </w:pPr>
    </w:p>
    <w:p w:rsidR="001D2594" w:rsidRPr="009F321D" w:rsidRDefault="001D2594" w:rsidP="001D2594">
      <w:pPr>
        <w:spacing w:after="226"/>
        <w:ind w:left="-5"/>
        <w:rPr>
          <w:b/>
          <w:lang w:val="sq-AL"/>
        </w:rPr>
      </w:pPr>
    </w:p>
    <w:p w:rsidR="001D2594" w:rsidRPr="009F321D" w:rsidRDefault="001D2594" w:rsidP="00E61D48">
      <w:pPr>
        <w:spacing w:after="226"/>
        <w:rPr>
          <w:b/>
          <w:lang w:val="sq-AL"/>
        </w:rPr>
      </w:pPr>
    </w:p>
    <w:p w:rsidR="001D2594" w:rsidRDefault="001D2594" w:rsidP="001D2594">
      <w:pPr>
        <w:spacing w:after="226"/>
        <w:ind w:left="-5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24851">
        <w:rPr>
          <w:rFonts w:ascii="Times New Roman" w:hAnsi="Times New Roman" w:cs="Times New Roman"/>
          <w:b/>
          <w:sz w:val="24"/>
          <w:szCs w:val="24"/>
          <w:lang w:val="sq-AL"/>
        </w:rPr>
        <w:t>Shtojca nr. 2</w:t>
      </w:r>
    </w:p>
    <w:p w:rsidR="00624851" w:rsidRPr="00624851" w:rsidRDefault="00624851" w:rsidP="001D2594">
      <w:pPr>
        <w:spacing w:after="226"/>
        <w:ind w:left="-5"/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:rsidR="001D2594" w:rsidRPr="00624851" w:rsidRDefault="001D2594" w:rsidP="001D2594">
      <w:pPr>
        <w:ind w:left="294" w:right="286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624851">
        <w:rPr>
          <w:rFonts w:ascii="Times New Roman" w:hAnsi="Times New Roman" w:cs="Times New Roman"/>
          <w:sz w:val="24"/>
          <w:szCs w:val="24"/>
          <w:lang w:val="sq-AL"/>
        </w:rPr>
        <w:t>DEKLARATË PËR VERIFIKIMIN E VËRTETËSISË SË</w:t>
      </w:r>
    </w:p>
    <w:p w:rsidR="001D2594" w:rsidRDefault="001D2594" w:rsidP="001D2594">
      <w:pPr>
        <w:spacing w:after="221"/>
        <w:ind w:left="294" w:right="286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624851">
        <w:rPr>
          <w:rFonts w:ascii="Times New Roman" w:hAnsi="Times New Roman" w:cs="Times New Roman"/>
          <w:sz w:val="24"/>
          <w:szCs w:val="24"/>
          <w:lang w:val="sq-AL"/>
        </w:rPr>
        <w:t>DOKUMENTEVE TË PARAQITURA NGA KANDIDATI</w:t>
      </w:r>
    </w:p>
    <w:p w:rsidR="00624851" w:rsidRPr="00624851" w:rsidRDefault="00624851" w:rsidP="001D2594">
      <w:pPr>
        <w:spacing w:after="221"/>
        <w:ind w:left="294" w:right="286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1D2594" w:rsidRPr="00624851" w:rsidRDefault="001D2594" w:rsidP="001D2594">
      <w:pPr>
        <w:spacing w:after="270" w:line="220" w:lineRule="auto"/>
        <w:ind w:left="-5" w:right="41"/>
        <w:rPr>
          <w:rFonts w:ascii="Times New Roman" w:hAnsi="Times New Roman" w:cs="Times New Roman"/>
          <w:sz w:val="24"/>
          <w:szCs w:val="24"/>
          <w:lang w:val="sq-AL"/>
        </w:rPr>
      </w:pPr>
      <w:r w:rsidRPr="00624851">
        <w:rPr>
          <w:rFonts w:ascii="Times New Roman" w:hAnsi="Times New Roman" w:cs="Times New Roman"/>
          <w:sz w:val="24"/>
          <w:szCs w:val="24"/>
          <w:lang w:val="sq-AL"/>
        </w:rPr>
        <w:t>Unë ____________________, kandidat në procesin e konkurrimit për profilin __________________ ______________, të zhvilluar në _________________________, më datë _______________, autorizoj _________________ të verifikojë në çdo kohë vërtetësinë e dokumenteve të paraqitura nga ana ime.</w:t>
      </w:r>
    </w:p>
    <w:p w:rsidR="001D2594" w:rsidRPr="00624851" w:rsidRDefault="001D2594" w:rsidP="001D2594">
      <w:pPr>
        <w:spacing w:after="270" w:line="220" w:lineRule="auto"/>
        <w:ind w:left="-5" w:right="41"/>
        <w:rPr>
          <w:rFonts w:ascii="Times New Roman" w:hAnsi="Times New Roman" w:cs="Times New Roman"/>
          <w:sz w:val="24"/>
          <w:szCs w:val="24"/>
          <w:lang w:val="sq-AL"/>
        </w:rPr>
      </w:pPr>
    </w:p>
    <w:p w:rsidR="001D2594" w:rsidRPr="00624851" w:rsidRDefault="001D2594" w:rsidP="001D2594">
      <w:pPr>
        <w:spacing w:after="0"/>
        <w:ind w:right="-9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624851">
        <w:rPr>
          <w:rFonts w:ascii="Times New Roman" w:hAnsi="Times New Roman" w:cs="Times New Roman"/>
          <w:sz w:val="24"/>
          <w:szCs w:val="24"/>
          <w:lang w:val="sq-AL"/>
        </w:rPr>
        <w:t>AUTORIZUESI</w:t>
      </w:r>
    </w:p>
    <w:p w:rsidR="001D2594" w:rsidRPr="00624851" w:rsidRDefault="001D2594" w:rsidP="001D2594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624851">
        <w:rPr>
          <w:rFonts w:ascii="Times New Roman" w:hAnsi="Times New Roman" w:cs="Times New Roman"/>
          <w:sz w:val="24"/>
          <w:szCs w:val="24"/>
          <w:lang w:val="sq-AL"/>
        </w:rPr>
        <w:t>__________________________</w:t>
      </w: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9F321D" w:rsidRDefault="001D2594" w:rsidP="001D2594">
      <w:pPr>
        <w:spacing w:after="221"/>
        <w:ind w:right="-9"/>
        <w:jc w:val="right"/>
        <w:rPr>
          <w:lang w:val="sq-AL"/>
        </w:rPr>
      </w:pPr>
    </w:p>
    <w:p w:rsidR="001D2594" w:rsidRPr="00624851" w:rsidRDefault="001D2594" w:rsidP="001D2594">
      <w:pPr>
        <w:spacing w:after="221"/>
        <w:ind w:right="-9"/>
        <w:jc w:val="right"/>
        <w:rPr>
          <w:rFonts w:ascii="Times New Roman" w:hAnsi="Times New Roman" w:cs="Times New Roman"/>
          <w:lang w:val="sq-AL"/>
        </w:rPr>
      </w:pPr>
    </w:p>
    <w:p w:rsidR="001D2594" w:rsidRPr="00624851" w:rsidRDefault="001D2594" w:rsidP="001D2594">
      <w:pPr>
        <w:spacing w:after="226"/>
        <w:ind w:left="-5"/>
        <w:jc w:val="right"/>
        <w:rPr>
          <w:rFonts w:ascii="Times New Roman" w:hAnsi="Times New Roman" w:cs="Times New Roman"/>
          <w:lang w:val="sq-AL"/>
        </w:rPr>
      </w:pPr>
      <w:r w:rsidRPr="00624851">
        <w:rPr>
          <w:rFonts w:ascii="Times New Roman" w:hAnsi="Times New Roman" w:cs="Times New Roman"/>
          <w:b/>
          <w:lang w:val="sq-AL"/>
        </w:rPr>
        <w:t>Shtojca nr. 3</w:t>
      </w:r>
    </w:p>
    <w:p w:rsidR="00624851" w:rsidRDefault="00624851" w:rsidP="001D2594">
      <w:pPr>
        <w:ind w:left="294" w:right="287"/>
        <w:jc w:val="center"/>
        <w:rPr>
          <w:rFonts w:ascii="Times New Roman" w:hAnsi="Times New Roman" w:cs="Times New Roman"/>
          <w:lang w:val="sq-AL"/>
        </w:rPr>
      </w:pPr>
    </w:p>
    <w:p w:rsidR="001D2594" w:rsidRPr="00624851" w:rsidRDefault="001D2594" w:rsidP="001D2594">
      <w:pPr>
        <w:ind w:left="294" w:right="287"/>
        <w:jc w:val="center"/>
        <w:rPr>
          <w:rFonts w:ascii="Times New Roman" w:hAnsi="Times New Roman" w:cs="Times New Roman"/>
          <w:lang w:val="sq-AL"/>
        </w:rPr>
      </w:pPr>
      <w:r w:rsidRPr="00624851">
        <w:rPr>
          <w:rFonts w:ascii="Times New Roman" w:hAnsi="Times New Roman" w:cs="Times New Roman"/>
          <w:lang w:val="sq-AL"/>
        </w:rPr>
        <w:t>KRITERET DHE SKEMA E VLERËSIMIT TË DOSJEVE TË KANDIDATËVE PËR</w:t>
      </w:r>
    </w:p>
    <w:p w:rsidR="001D2594" w:rsidRDefault="001D2594" w:rsidP="001D2594">
      <w:pPr>
        <w:ind w:left="294" w:right="282"/>
        <w:jc w:val="center"/>
        <w:rPr>
          <w:rFonts w:ascii="Times New Roman" w:hAnsi="Times New Roman" w:cs="Times New Roman"/>
          <w:lang w:val="sq-AL"/>
        </w:rPr>
      </w:pPr>
      <w:r w:rsidRPr="00624851">
        <w:rPr>
          <w:rFonts w:ascii="Times New Roman" w:hAnsi="Times New Roman" w:cs="Times New Roman"/>
          <w:lang w:val="sq-AL"/>
        </w:rPr>
        <w:t>USHTRIMIN E PROFESIONEVE TË SHKENCAVE TEKNIKE MJEKËSORE</w:t>
      </w:r>
    </w:p>
    <w:p w:rsidR="00624851" w:rsidRPr="00624851" w:rsidRDefault="00624851" w:rsidP="001D2594">
      <w:pPr>
        <w:ind w:left="294" w:right="282"/>
        <w:jc w:val="center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904" w:type="dxa"/>
        <w:tblInd w:w="93" w:type="dxa"/>
        <w:tblCellMar>
          <w:top w:w="3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79"/>
        <w:gridCol w:w="7684"/>
        <w:gridCol w:w="1541"/>
      </w:tblGrid>
      <w:tr w:rsidR="001D2594" w:rsidRPr="00624851" w:rsidTr="0021066C">
        <w:trPr>
          <w:trHeight w:val="2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2594" w:rsidRPr="00624851" w:rsidRDefault="001D2594" w:rsidP="0021066C">
            <w:pPr>
              <w:ind w:left="72"/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2594" w:rsidRPr="00624851" w:rsidRDefault="001D2594" w:rsidP="0021066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  <w:b/>
              </w:rPr>
              <w:t>Treguesit dhe kriteret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2594" w:rsidRPr="00624851" w:rsidRDefault="001D2594" w:rsidP="0021066C">
            <w:pPr>
              <w:jc w:val="center"/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  <w:b/>
              </w:rPr>
              <w:t>Pikët</w:t>
            </w:r>
          </w:p>
        </w:tc>
      </w:tr>
      <w:tr w:rsidR="001D2594" w:rsidRPr="00624851" w:rsidTr="0021066C">
        <w:trPr>
          <w:trHeight w:val="465"/>
        </w:trPr>
        <w:tc>
          <w:tcPr>
            <w:tcW w:w="6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94" w:rsidRPr="00624851" w:rsidRDefault="001D2594" w:rsidP="0021066C">
            <w:pPr>
              <w:ind w:left="297"/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Përvoja në punë si profesionist i shkencave mjekësore teknike (një pikë për çdo vit pune, deri në 10 vite eksperiencë pune)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94" w:rsidRPr="00624851" w:rsidRDefault="001D2594" w:rsidP="0021066C">
            <w:pPr>
              <w:ind w:left="50"/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1–10 pikë</w:t>
            </w:r>
          </w:p>
        </w:tc>
      </w:tr>
      <w:tr w:rsidR="001D2594" w:rsidRPr="00624851" w:rsidTr="0021066C">
        <w:trPr>
          <w:trHeight w:val="46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94" w:rsidRPr="00624851" w:rsidRDefault="001D2594" w:rsidP="0021066C">
            <w:pPr>
              <w:ind w:left="297"/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Studentëve ekselent të tri viteve të fundit u shtohen 5 pikë shtesë (pa tejkaluar 30 pikë gjithsej për vlerësimin e dosjes)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5 pikë</w:t>
            </w:r>
          </w:p>
        </w:tc>
      </w:tr>
      <w:tr w:rsidR="001D2594" w:rsidRPr="00624851" w:rsidTr="0021066C">
        <w:trPr>
          <w:trHeight w:val="271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94" w:rsidRPr="00624851" w:rsidRDefault="001D2594" w:rsidP="0021066C">
            <w:pPr>
              <w:ind w:left="297"/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94" w:rsidRPr="00624851" w:rsidRDefault="001D2594" w:rsidP="0021066C">
            <w:pPr>
              <w:spacing w:line="220" w:lineRule="auto"/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Nota mesatare e studimeve të larta (shprehur në numër dhe një shifër pas presjes dhjetore) Vlerësimi bëhet sipas kësaj skeme:</w:t>
            </w:r>
          </w:p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Nota mesatare (e thjeshtë) 5.00–5.50 = 1 pikë;</w:t>
            </w:r>
          </w:p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Nota mesatare (e thjeshtë) 5.51–6.00 = 2 pikë;</w:t>
            </w:r>
          </w:p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Nota mesatare (e thjeshtë) 6.01–6.50 = 3 pikë;</w:t>
            </w:r>
          </w:p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Nota mesatare (e thjeshtë) 6.51–7.00 = 4 pikë;</w:t>
            </w:r>
          </w:p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Nota mesatare (e thjeshtë) 7.01–7.50 = 5 pikë;</w:t>
            </w:r>
          </w:p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Nota mesatare (e thjeshtë) 7.51–8.00 = 6 pikë;</w:t>
            </w:r>
          </w:p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Nota mesatare (e thjeshtë) 8.01–8.50 = 7 pikë;</w:t>
            </w:r>
          </w:p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Nota mesatare (e thjeshtë) 8.51–9.00 = 8 pikë;</w:t>
            </w:r>
          </w:p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Nota mesatare (e thjeshtë) 9.01–9.50 = 9 pikë;</w:t>
            </w:r>
          </w:p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Nota mesatare (e thjeshtë) 9.51–10.00 = 10 pikë.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1–10 pikë</w:t>
            </w:r>
          </w:p>
        </w:tc>
      </w:tr>
      <w:tr w:rsidR="001D2594" w:rsidRPr="00624851" w:rsidTr="0021066C">
        <w:trPr>
          <w:trHeight w:val="6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94" w:rsidRPr="00624851" w:rsidRDefault="001D2594" w:rsidP="0021066C">
            <w:pPr>
              <w:ind w:left="297"/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Shkallët e kualifikimit në fushën e shëndetësisë:</w:t>
            </w:r>
          </w:p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Studime të nivelit “Master profesional” – 5 pikë;</w:t>
            </w:r>
          </w:p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Studime të nivelit “Master shkencor” (të barasvlershëm) – 8 pikë.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0–8 pikë</w:t>
            </w:r>
          </w:p>
        </w:tc>
      </w:tr>
      <w:tr w:rsidR="001D2594" w:rsidRPr="00624851" w:rsidTr="0021066C">
        <w:trPr>
          <w:trHeight w:val="11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94" w:rsidRPr="00624851" w:rsidRDefault="001D2594" w:rsidP="0021066C">
            <w:pPr>
              <w:ind w:left="297"/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Dëshmi të njohjes së gjuhës/ve të huaja:</w:t>
            </w:r>
          </w:p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Gjuhë e huaj e mbrojtur në IAL- të publike = 1 pikë;</w:t>
            </w:r>
          </w:p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Gjuhë e huaj e mbrojtur me testim ndërkombëtar niveli B2 = 2 pikë.</w:t>
            </w:r>
          </w:p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Pavarësisht se kandidatët mund të kenë disa gjuhë të huaja të mbrojtura, në këtë rubrikë nuk mund të llogariten më shumë se 2 pikë në vlerësimin e dosjes.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94" w:rsidRPr="00624851" w:rsidRDefault="001D2594" w:rsidP="0021066C">
            <w:pPr>
              <w:rPr>
                <w:rFonts w:ascii="Times New Roman" w:hAnsi="Times New Roman" w:cs="Times New Roman"/>
              </w:rPr>
            </w:pPr>
            <w:r w:rsidRPr="00624851">
              <w:rPr>
                <w:rFonts w:ascii="Times New Roman" w:hAnsi="Times New Roman" w:cs="Times New Roman"/>
              </w:rPr>
              <w:t>0–2 pikë</w:t>
            </w:r>
          </w:p>
        </w:tc>
      </w:tr>
    </w:tbl>
    <w:p w:rsidR="00AF3326" w:rsidRPr="00624851" w:rsidRDefault="00AF3326" w:rsidP="00AF3326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lang w:val="sq-AL"/>
        </w:rPr>
      </w:pPr>
    </w:p>
    <w:sectPr w:rsidR="00AF3326" w:rsidRPr="00624851" w:rsidSect="00734635">
      <w:footerReference w:type="default" r:id="rId8"/>
      <w:pgSz w:w="12240" w:h="15840"/>
      <w:pgMar w:top="288" w:right="1138" w:bottom="1138" w:left="113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B90" w:rsidRDefault="00F14B90">
      <w:pPr>
        <w:spacing w:after="0" w:line="240" w:lineRule="auto"/>
      </w:pPr>
      <w:r>
        <w:separator/>
      </w:r>
    </w:p>
  </w:endnote>
  <w:endnote w:type="continuationSeparator" w:id="0">
    <w:p w:rsidR="00F14B90" w:rsidRDefault="00F1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D2E" w:rsidRDefault="00F14B90" w:rsidP="00A30D2E">
    <w:pPr>
      <w:pStyle w:val="Footer"/>
      <w:pBdr>
        <w:bottom w:val="single" w:sz="12" w:space="1" w:color="auto"/>
      </w:pBdr>
      <w:rPr>
        <w:rFonts w:ascii="Times New Roman" w:hAnsi="Times New Roman"/>
        <w:sz w:val="18"/>
        <w:szCs w:val="18"/>
        <w:lang w:val="it-IT"/>
      </w:rPr>
    </w:pPr>
  </w:p>
  <w:p w:rsidR="005B1262" w:rsidRPr="00624851" w:rsidRDefault="005B1262" w:rsidP="005B1262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/>
        <w:sz w:val="16"/>
        <w:lang w:val="it-IT"/>
      </w:rPr>
    </w:pPr>
    <w:r w:rsidRPr="00624851">
      <w:rPr>
        <w:rFonts w:ascii="Times New Roman" w:hAnsi="Times New Roman"/>
        <w:sz w:val="16"/>
        <w:lang w:val="it-IT"/>
      </w:rPr>
      <w:t xml:space="preserve">Adresa: Rruga </w:t>
    </w:r>
    <w:r w:rsidR="00624851" w:rsidRPr="00624851">
      <w:rPr>
        <w:rFonts w:ascii="Times New Roman" w:hAnsi="Times New Roman"/>
        <w:sz w:val="16"/>
        <w:lang w:val="it-IT"/>
      </w:rPr>
      <w:t>Marubi</w:t>
    </w:r>
    <w:r w:rsidRPr="00624851">
      <w:rPr>
        <w:rFonts w:ascii="Times New Roman" w:hAnsi="Times New Roman"/>
        <w:sz w:val="16"/>
        <w:lang w:val="it-IT"/>
      </w:rPr>
      <w:t>, Tiranë / email: info</w:t>
    </w:r>
    <w:r w:rsidR="00386AFD" w:rsidRPr="00624851">
      <w:rPr>
        <w:rFonts w:ascii="Times New Roman" w:hAnsi="Times New Roman"/>
        <w:sz w:val="16"/>
        <w:lang w:val="it-IT"/>
      </w:rPr>
      <w:t>@</w:t>
    </w:r>
    <w:r w:rsidRPr="00624851">
      <w:rPr>
        <w:rFonts w:ascii="Times New Roman" w:hAnsi="Times New Roman"/>
        <w:sz w:val="16"/>
        <w:lang w:val="it-IT"/>
      </w:rPr>
      <w:t>OSHKSH</w:t>
    </w:r>
    <w:r w:rsidR="00386AFD" w:rsidRPr="00624851">
      <w:rPr>
        <w:rFonts w:ascii="Times New Roman" w:hAnsi="Times New Roman"/>
        <w:sz w:val="16"/>
        <w:lang w:val="it-IT"/>
      </w:rPr>
      <w:t>.gov.al</w:t>
    </w:r>
    <w:r w:rsidRPr="00624851">
      <w:rPr>
        <w:rFonts w:ascii="Times New Roman" w:hAnsi="Times New Roman"/>
        <w:sz w:val="16"/>
        <w:lang w:val="it-IT"/>
      </w:rPr>
      <w:t xml:space="preserve">  / </w:t>
    </w:r>
    <w:r w:rsidR="00624851">
      <w:rPr>
        <w:rFonts w:ascii="Times New Roman" w:hAnsi="Times New Roman"/>
        <w:sz w:val="16"/>
        <w:lang w:val="it-IT"/>
      </w:rPr>
      <w:t>W</w:t>
    </w:r>
    <w:r w:rsidRPr="00624851">
      <w:rPr>
        <w:rFonts w:ascii="Times New Roman" w:hAnsi="Times New Roman"/>
        <w:sz w:val="16"/>
        <w:lang w:val="it-IT"/>
      </w:rPr>
      <w:t>eb:</w:t>
    </w:r>
    <w:r w:rsidR="00624851">
      <w:rPr>
        <w:rFonts w:ascii="Times New Roman" w:hAnsi="Times New Roman"/>
        <w:sz w:val="16"/>
        <w:lang w:val="it-IT"/>
      </w:rPr>
      <w:t>www</w:t>
    </w:r>
    <w:hyperlink r:id="rId1" w:history="1">
      <w:r w:rsidRPr="00624851">
        <w:rPr>
          <w:rFonts w:ascii="Times New Roman" w:hAnsi="Times New Roman"/>
          <w:color w:val="0000FF"/>
          <w:sz w:val="18"/>
          <w:szCs w:val="20"/>
          <w:u w:val="single"/>
          <w:lang w:val="it-IT"/>
        </w:rPr>
        <w:t>.oshksh.gov.al</w:t>
      </w:r>
    </w:hyperlink>
    <w:r w:rsidRPr="00624851">
      <w:rPr>
        <w:rFonts w:ascii="Times New Roman" w:hAnsi="Times New Roman"/>
        <w:sz w:val="18"/>
        <w:szCs w:val="20"/>
        <w:lang w:val="it-IT"/>
      </w:rPr>
      <w:t xml:space="preserve">   </w:t>
    </w:r>
  </w:p>
  <w:p w:rsidR="00A30D2E" w:rsidRPr="009B1D1C" w:rsidRDefault="00F14B90" w:rsidP="00A30D2E">
    <w:pPr>
      <w:pStyle w:val="Footer"/>
      <w:jc w:val="center"/>
      <w:rPr>
        <w:rFonts w:ascii="Times New Roman" w:hAnsi="Times New Roman"/>
        <w:noProof/>
        <w:sz w:val="18"/>
        <w:szCs w:val="18"/>
        <w:lang w:val="it-IT"/>
      </w:rPr>
    </w:pPr>
  </w:p>
  <w:p w:rsidR="00F75F9C" w:rsidRPr="00624851" w:rsidRDefault="00F14B90" w:rsidP="00F75F9C">
    <w:pPr>
      <w:rPr>
        <w:lang w:val="it-IT"/>
      </w:rPr>
    </w:pPr>
  </w:p>
  <w:p w:rsidR="00FB7E01" w:rsidRPr="009B1D1C" w:rsidRDefault="00F14B90" w:rsidP="00DE1203">
    <w:pPr>
      <w:pStyle w:val="Footer"/>
      <w:rPr>
        <w:rFonts w:ascii="Times New Roman" w:hAnsi="Times New Roman"/>
        <w:noProof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B90" w:rsidRDefault="00F14B90">
      <w:pPr>
        <w:spacing w:after="0" w:line="240" w:lineRule="auto"/>
      </w:pPr>
      <w:r>
        <w:separator/>
      </w:r>
    </w:p>
  </w:footnote>
  <w:footnote w:type="continuationSeparator" w:id="0">
    <w:p w:rsidR="00F14B90" w:rsidRDefault="00F14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078"/>
    <w:multiLevelType w:val="multilevel"/>
    <w:tmpl w:val="DEE2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353DC"/>
    <w:multiLevelType w:val="multilevel"/>
    <w:tmpl w:val="E7DC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17F2B"/>
    <w:multiLevelType w:val="multilevel"/>
    <w:tmpl w:val="B2D0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5439A"/>
    <w:multiLevelType w:val="hybridMultilevel"/>
    <w:tmpl w:val="4A24D87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DEC5F25"/>
    <w:multiLevelType w:val="multilevel"/>
    <w:tmpl w:val="36D0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001FB5"/>
    <w:multiLevelType w:val="multilevel"/>
    <w:tmpl w:val="36D0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5F"/>
    <w:rsid w:val="00044EAC"/>
    <w:rsid w:val="00054C0A"/>
    <w:rsid w:val="00062F93"/>
    <w:rsid w:val="000B71A9"/>
    <w:rsid w:val="00133980"/>
    <w:rsid w:val="001C4B5D"/>
    <w:rsid w:val="001D108D"/>
    <w:rsid w:val="001D2594"/>
    <w:rsid w:val="00237110"/>
    <w:rsid w:val="00273AF9"/>
    <w:rsid w:val="002B464B"/>
    <w:rsid w:val="002D71B3"/>
    <w:rsid w:val="00386AFD"/>
    <w:rsid w:val="00392621"/>
    <w:rsid w:val="003D63D4"/>
    <w:rsid w:val="003F2B30"/>
    <w:rsid w:val="004259D5"/>
    <w:rsid w:val="00443041"/>
    <w:rsid w:val="004973D5"/>
    <w:rsid w:val="004B01CC"/>
    <w:rsid w:val="004B2A78"/>
    <w:rsid w:val="004C1F13"/>
    <w:rsid w:val="0050264E"/>
    <w:rsid w:val="005253B3"/>
    <w:rsid w:val="00580DC6"/>
    <w:rsid w:val="005B1262"/>
    <w:rsid w:val="005D4B27"/>
    <w:rsid w:val="00623D7F"/>
    <w:rsid w:val="00624851"/>
    <w:rsid w:val="006419CE"/>
    <w:rsid w:val="0066297D"/>
    <w:rsid w:val="00662C57"/>
    <w:rsid w:val="006B711D"/>
    <w:rsid w:val="007245BD"/>
    <w:rsid w:val="0077680C"/>
    <w:rsid w:val="00777F8C"/>
    <w:rsid w:val="00784310"/>
    <w:rsid w:val="007D7828"/>
    <w:rsid w:val="007E43D5"/>
    <w:rsid w:val="007E558B"/>
    <w:rsid w:val="008016B7"/>
    <w:rsid w:val="00842A9A"/>
    <w:rsid w:val="008555D4"/>
    <w:rsid w:val="00870435"/>
    <w:rsid w:val="0087083E"/>
    <w:rsid w:val="008A30BD"/>
    <w:rsid w:val="008D4B2C"/>
    <w:rsid w:val="008E636E"/>
    <w:rsid w:val="008E70B4"/>
    <w:rsid w:val="00906F8E"/>
    <w:rsid w:val="0094379C"/>
    <w:rsid w:val="009F2956"/>
    <w:rsid w:val="009F321D"/>
    <w:rsid w:val="00A11194"/>
    <w:rsid w:val="00A569DB"/>
    <w:rsid w:val="00AA410D"/>
    <w:rsid w:val="00AF3326"/>
    <w:rsid w:val="00B55A46"/>
    <w:rsid w:val="00BE24F1"/>
    <w:rsid w:val="00BF79C2"/>
    <w:rsid w:val="00C16CAD"/>
    <w:rsid w:val="00C2164B"/>
    <w:rsid w:val="00C46089"/>
    <w:rsid w:val="00C6119B"/>
    <w:rsid w:val="00C65573"/>
    <w:rsid w:val="00C662F5"/>
    <w:rsid w:val="00C90930"/>
    <w:rsid w:val="00CF1E2B"/>
    <w:rsid w:val="00D4627B"/>
    <w:rsid w:val="00D61841"/>
    <w:rsid w:val="00D669C7"/>
    <w:rsid w:val="00D70A1E"/>
    <w:rsid w:val="00DC56D4"/>
    <w:rsid w:val="00E22D0A"/>
    <w:rsid w:val="00E30AD0"/>
    <w:rsid w:val="00E61D48"/>
    <w:rsid w:val="00EA355F"/>
    <w:rsid w:val="00F14B90"/>
    <w:rsid w:val="00F1680F"/>
    <w:rsid w:val="00F27849"/>
    <w:rsid w:val="00F31181"/>
    <w:rsid w:val="00F44A0B"/>
    <w:rsid w:val="00F70DD0"/>
    <w:rsid w:val="00F92E94"/>
    <w:rsid w:val="00F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D57D"/>
  <w15:chartTrackingRefBased/>
  <w15:docId w15:val="{C93357C6-DB9A-4A4B-A62B-0AC0C069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6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80F"/>
  </w:style>
  <w:style w:type="character" w:styleId="Hyperlink">
    <w:name w:val="Hyperlink"/>
    <w:basedOn w:val="DefaultParagraphFont"/>
    <w:unhideWhenUsed/>
    <w:rsid w:val="00F168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2F93"/>
    <w:pPr>
      <w:ind w:left="720"/>
      <w:contextualSpacing/>
    </w:pPr>
  </w:style>
  <w:style w:type="table" w:customStyle="1" w:styleId="TableGrid">
    <w:name w:val="TableGrid"/>
    <w:rsid w:val="001D2594"/>
    <w:pPr>
      <w:spacing w:after="0" w:line="240" w:lineRule="auto"/>
    </w:pPr>
    <w:rPr>
      <w:rFonts w:eastAsiaTheme="minorEastAsia"/>
      <w:lang w:val="sq-AL" w:eastAsia="sq-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1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262"/>
  </w:style>
  <w:style w:type="paragraph" w:styleId="BalloonText">
    <w:name w:val="Balloon Text"/>
    <w:basedOn w:val="Normal"/>
    <w:link w:val="BalloonTextChar"/>
    <w:uiPriority w:val="99"/>
    <w:semiHidden/>
    <w:unhideWhenUsed/>
    <w:rsid w:val="00C6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hksh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eriola</dc:creator>
  <cp:keywords/>
  <dc:description/>
  <cp:lastModifiedBy>Flutura</cp:lastModifiedBy>
  <cp:revision>2</cp:revision>
  <cp:lastPrinted>2024-08-22T12:00:00Z</cp:lastPrinted>
  <dcterms:created xsi:type="dcterms:W3CDTF">2025-08-28T09:23:00Z</dcterms:created>
  <dcterms:modified xsi:type="dcterms:W3CDTF">2025-08-28T09:23:00Z</dcterms:modified>
</cp:coreProperties>
</file>